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19050" distT="19050" distL="19050" distR="19050" hidden="0" layoutInCell="0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5600700</wp:posOffset>
            </wp:positionH>
            <wp:positionV relativeFrom="paragraph">
              <wp:posOffset>133350</wp:posOffset>
            </wp:positionV>
            <wp:extent cx="1067677" cy="1152246"/>
            <wp:effectExtent b="0" l="0" r="0" t="0"/>
            <wp:wrapSquare wrapText="bothSides" distB="114300" distT="114300" distL="114300" distR="114300"/>
            <wp:docPr descr="IMG_0742.JPG" id="2" name="image04.jpg"/>
            <a:graphic>
              <a:graphicData uri="http://schemas.openxmlformats.org/drawingml/2006/picture">
                <pic:pic>
                  <pic:nvPicPr>
                    <pic:cNvPr descr="IMG_0742.JPG"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77" cy="1152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 w:val="0"/>
        <w:tblW w:w="10800.0" w:type="dxa"/>
        <w:jc w:val="lef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1"/>
                <w:sz w:val="96"/>
                <w:szCs w:val="96"/>
                <w:rtl w:val="0"/>
              </w:rPr>
              <w:t xml:space="preserve">Eclipse Enquirer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ffffff"/>
                <w:rtl w:val="0"/>
              </w:rPr>
              <w:t xml:space="preserve">https://classroom.google.com/u/1/c/NTU2NjIxNzZa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333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Play" w:cs="Play" w:eastAsia="Play" w:hAnsi="Play"/>
                <w:color w:val="ffffff"/>
                <w:rtl w:val="0"/>
              </w:rPr>
              <w:t xml:space="preserve">September 28, 2015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Reading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Mrs. Cuper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Those students who would like to retake the Abby quiz will participate in a reteach during reading plus class on Tuesday, then retake the quiz during EO that day.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We finished reading Rogue Wave last week and will be dissecting the story this week, identifying literary elements such as plot, conflict, etc.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Keyboarding should be done.  What is not done must be finished on student’s own time.  Lessons can be completed at home, but timed writings must be completed at school.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lay" w:cs="Play" w:eastAsia="Play" w:hAnsi="Play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36"/>
                      <w:szCs w:val="36"/>
                      <w:rtl w:val="0"/>
                    </w:rPr>
                    <w:t xml:space="preserve">Extras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Team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Progress Reports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went home in the folder today.  Also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Parent Conference information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is in the folder.  Please return it ASAP.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The KANZA Prairie field trip is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October 8th. 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Before students are allowed to go on the field trip, a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parent approval sheet must be signed and returned with a $1.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by: Mrs. Walters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We are having a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TEST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 on life processes on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 FRIDAY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. Study your notes and worksheets.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Science News is due on October 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We are going out to the pond on Wednesday.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u w:val="single"/>
                <w:rtl w:val="0"/>
              </w:rPr>
              <w:t xml:space="preserve">Wear sturdy shoes! No sandals!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TJ the fish biologist will be showing us  some pond life.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I hope the speaker,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David Crook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, had an impact on your life. He is very inspiring.</w:t>
            </w:r>
          </w:p>
          <w:p w:rsidR="00000000" w:rsidDel="00000000" w:rsidP="00000000" w:rsidRDefault="00000000" w:rsidRPr="00000000">
            <w:pPr>
              <w:widowControl w:val="0"/>
              <w:spacing w:line="113.6842105263157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90500" cy="76200"/>
                  <wp:effectExtent b="0" l="0" r="0" t="0"/>
                  <wp:docPr id="3" name="image05.gif"/>
                  <a:graphic>
                    <a:graphicData uri="http://schemas.openxmlformats.org/drawingml/2006/picture">
                      <pic:pic>
                        <pic:nvPicPr>
                          <pic:cNvPr id="0" name="image05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1990725" cy="1778000"/>
                        <wp:effectExtent b="0" l="0" r="0" t="0"/>
                        <wp:docPr descr="Logo.jpg" id="1" name="image03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.jpg" id="0" name="image03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0725" cy="1778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Math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Pinnick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With no school Monday and the fishing trip in science I have decided to push back the test. That means our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Unit 1 Test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will be scheduled for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October 1st. 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Look over your review and the your notes throughout the Unit so you can bring questions to ask during our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reviews on Tuesday and Thursday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 Please come see me if you have any questions about the content covered so far.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Stay up to date on assignments by checking out www.mrpinnick.com. 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Important Dates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Sept. 29th - Progress Reports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Sept. 30th- Fishing in Science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1st- Unit 1 Math Test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2nd- 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Narrative Assessment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          in Language Arts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8th- KANZA Field Trip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rtl w:val="0"/>
                    </w:rPr>
                    <w:t xml:space="preserve">Oct. 9th - Kansas Test Ch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sz w:val="28"/>
                <w:szCs w:val="28"/>
                <w:rtl w:val="0"/>
              </w:rPr>
              <w:t xml:space="preserve">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by: Mrs. Schoenf</w:t>
            </w:r>
            <w:r w:rsidDel="00000000" w:rsidR="00000000" w:rsidRPr="00000000">
              <w:rPr>
                <w:rFonts w:ascii="Play" w:cs="Play" w:eastAsia="Play" w:hAnsi="Play"/>
                <w:b w:val="1"/>
                <w:sz w:val="16"/>
                <w:szCs w:val="16"/>
                <w:rtl w:val="0"/>
              </w:rPr>
              <w:t xml:space="preserve">eldt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We are continuing to perfect our narrative writing skills this week with the Tell-Show Strategy. In addition, students will practice writing with dialogue. On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u w:val="single"/>
                <w:rtl w:val="0"/>
              </w:rPr>
              <w:t xml:space="preserve">Friday, we will have a narrative writing formative assessment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in which students will write one scene from a narrative story. We will begin the planning of the story on Thursday in preparation to write on Friday.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The CEI formative assessments have been graded and entered into Infinite Campus. Today,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students who scored less than 70% should have attended a reteaching session during EO.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 All CEI revised assessments are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u w:val="single"/>
                <w:rtl w:val="0"/>
              </w:rPr>
              <w:t xml:space="preserve">due Friday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. Students can work on this during EO this week.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8"/>
                      <w:szCs w:val="28"/>
                      <w:rtl w:val="0"/>
                    </w:rPr>
                    <w:t xml:space="preserve">Social Studies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16"/>
                      <w:szCs w:val="16"/>
                      <w:rtl w:val="0"/>
                    </w:rPr>
                    <w:t xml:space="preserve">by: Mr. McFarland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This week in Social Studies we will begin our study of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Kansas geography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  We will be looking at the 1st chapter in our book which covers the various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regions of Kansas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and the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rtl w:val="0"/>
                    </w:rPr>
                    <w:t xml:space="preserve"> events that shaped Kansas geography.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</w:pP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      The test over this material is tentatively scheduled for </w:t>
                  </w:r>
                  <w:r w:rsidDel="00000000" w:rsidR="00000000" w:rsidRPr="00000000">
                    <w:rPr>
                      <w:rFonts w:ascii="Play" w:cs="Play" w:eastAsia="Play" w:hAnsi="Play"/>
                      <w:b w:val="1"/>
                      <w:sz w:val="20"/>
                      <w:szCs w:val="20"/>
                      <w:u w:val="single"/>
                      <w:rtl w:val="0"/>
                    </w:rPr>
                    <w:t xml:space="preserve">Friday, October 9th</w:t>
                  </w:r>
                  <w:r w:rsidDel="00000000" w:rsidR="00000000" w:rsidRPr="00000000">
                    <w:rPr>
                      <w:rFonts w:ascii="Play" w:cs="Play" w:eastAsia="Play" w:hAnsi="Play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lay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png"/><Relationship Id="rId6" Type="http://schemas.openxmlformats.org/officeDocument/2006/relationships/image" Target="media/image04.jpg"/><Relationship Id="rId7" Type="http://schemas.openxmlformats.org/officeDocument/2006/relationships/image" Target="media/image05.gif"/><Relationship Id="rId8" Type="http://schemas.openxmlformats.org/officeDocument/2006/relationships/image" Target="media/image0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